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3" w:rsidRPr="00FA63EB" w:rsidRDefault="00FA63EB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FA63EB">
        <w:rPr>
          <w:rFonts w:ascii="Arial" w:hAnsi="Arial" w:cs="Arial"/>
          <w:b/>
          <w:sz w:val="32"/>
          <w:szCs w:val="32"/>
        </w:rPr>
        <w:t>10.04.2020г.№9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>ДУМА</w:t>
      </w:r>
    </w:p>
    <w:p w:rsidR="00224D23" w:rsidRPr="00224D23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  <w:r w:rsidRPr="00224D23">
        <w:rPr>
          <w:rFonts w:ascii="Arial" w:hAnsi="Arial" w:cs="Arial"/>
          <w:b/>
          <w:sz w:val="32"/>
          <w:szCs w:val="32"/>
        </w:rPr>
        <w:t>РЕШЕНИЕ</w:t>
      </w:r>
    </w:p>
    <w:p w:rsidR="00224D23" w:rsidRPr="00436926" w:rsidRDefault="00224D23" w:rsidP="00224D23">
      <w:pPr>
        <w:jc w:val="center"/>
        <w:rPr>
          <w:rFonts w:ascii="Arial" w:hAnsi="Arial" w:cs="Arial"/>
          <w:b/>
          <w:sz w:val="32"/>
          <w:szCs w:val="3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224D23">
        <w:rPr>
          <w:rFonts w:ascii="Arial" w:hAnsi="Arial" w:cs="Arial"/>
          <w:b/>
          <w:kern w:val="2"/>
          <w:sz w:val="32"/>
          <w:szCs w:val="32"/>
        </w:rPr>
        <w:t>ХУДОЕЛАНСКОГО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proofErr w:type="gramEnd"/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550A" w:rsidRDefault="00D2550A" w:rsidP="00436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7" w:history="1">
        <w:r w:rsidR="00224D2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8" w:history="1">
        <w:r w:rsidR="00224D2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</w:t>
      </w:r>
      <w:r w:rsidR="00224D23">
        <w:rPr>
          <w:rFonts w:ascii="Arial" w:hAnsi="Arial" w:cs="Arial"/>
          <w:color w:val="000000"/>
          <w:sz w:val="24"/>
          <w:szCs w:val="24"/>
        </w:rPr>
        <w:t>кой Федерации", от 21.08.2010 №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224D23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2550A" w:rsidRPr="00145005" w:rsidRDefault="00E00593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E00593" w:rsidP="00E0059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D2550A" w:rsidRPr="00C86ECD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 xml:space="preserve">), субъектам малого и </w:t>
      </w:r>
      <w:r w:rsidRPr="00C86ECD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E00593" w:rsidP="00E00593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E00593">
        <w:rPr>
          <w:rFonts w:ascii="Arial" w:hAnsi="Arial" w:cs="Arial"/>
          <w:sz w:val="24"/>
          <w:szCs w:val="24"/>
        </w:rPr>
        <w:t>Опубликовать настоящее решение после подписания</w:t>
      </w:r>
      <w:r w:rsidR="00A84A8D" w:rsidRPr="00A84A8D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</w:t>
      </w:r>
      <w:r w:rsidR="00224D23">
        <w:rPr>
          <w:rFonts w:ascii="Arial" w:hAnsi="Arial" w:cs="Arial"/>
          <w:sz w:val="24"/>
          <w:szCs w:val="24"/>
        </w:rPr>
        <w:t>Худоеланского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</w:p>
    <w:p w:rsidR="00C86ECD" w:rsidRPr="00287219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E00593">
        <w:rPr>
          <w:rFonts w:ascii="Arial" w:hAnsi="Arial" w:cs="Arial"/>
          <w:color w:val="000000"/>
          <w:sz w:val="24"/>
          <w:szCs w:val="24"/>
        </w:rPr>
        <w:t>: И.Д. Ботвенко</w:t>
      </w:r>
    </w:p>
    <w:p w:rsidR="00D2550A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Pr="00287219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224D23">
        <w:rPr>
          <w:rFonts w:ascii="Courier New" w:hAnsi="Courier New" w:cs="Courier New"/>
          <w:sz w:val="22"/>
          <w:szCs w:val="22"/>
        </w:rPr>
        <w:t>Худоеланского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E00593" w:rsidRDefault="00224D2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0593">
        <w:rPr>
          <w:rFonts w:ascii="Courier New" w:hAnsi="Courier New" w:cs="Courier New"/>
          <w:sz w:val="22"/>
          <w:szCs w:val="22"/>
        </w:rPr>
        <w:t>от</w:t>
      </w:r>
      <w:r w:rsidR="00FA63EB">
        <w:rPr>
          <w:rFonts w:ascii="Courier New" w:hAnsi="Courier New" w:cs="Courier New"/>
          <w:sz w:val="22"/>
          <w:szCs w:val="22"/>
        </w:rPr>
        <w:t xml:space="preserve"> 10.04.2020 N9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E005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</w:t>
      </w:r>
      <w:r w:rsidR="00224D23">
        <w:rPr>
          <w:rFonts w:ascii="Arial" w:hAnsi="Arial" w:cs="Arial"/>
          <w:sz w:val="24"/>
          <w:szCs w:val="24"/>
        </w:rPr>
        <w:t>рального закона от 24.07.2007 №</w:t>
      </w:r>
      <w:r w:rsidR="00D2550A" w:rsidRPr="00287219">
        <w:rPr>
          <w:rFonts w:ascii="Arial" w:hAnsi="Arial" w:cs="Arial"/>
          <w:sz w:val="24"/>
          <w:szCs w:val="24"/>
        </w:rPr>
        <w:t>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224D23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</w:t>
      </w:r>
      <w:r w:rsidR="00224D23">
        <w:rPr>
          <w:rFonts w:ascii="Arial" w:hAnsi="Arial" w:cs="Arial"/>
          <w:sz w:val="24"/>
          <w:szCs w:val="24"/>
        </w:rPr>
        <w:t>ного закона от 24.07.2007 №</w:t>
      </w:r>
      <w:r w:rsidRPr="00287219">
        <w:rPr>
          <w:rFonts w:ascii="Arial" w:hAnsi="Arial" w:cs="Arial"/>
          <w:sz w:val="24"/>
          <w:szCs w:val="24"/>
        </w:rPr>
        <w:t>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</w:t>
      </w:r>
      <w:r w:rsidR="00224D23">
        <w:rPr>
          <w:rFonts w:ascii="Arial" w:hAnsi="Arial" w:cs="Arial"/>
          <w:color w:val="000000"/>
          <w:sz w:val="24"/>
          <w:szCs w:val="24"/>
        </w:rPr>
        <w:t>ральным законом от 22.07.2008 №</w:t>
      </w:r>
      <w:r w:rsidRPr="00287219">
        <w:rPr>
          <w:rFonts w:ascii="Arial" w:hAnsi="Arial" w:cs="Arial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</w:t>
      </w:r>
      <w:r w:rsidR="00224D23">
        <w:rPr>
          <w:rFonts w:ascii="Arial" w:hAnsi="Arial" w:cs="Arial"/>
          <w:color w:val="000000"/>
          <w:sz w:val="24"/>
          <w:szCs w:val="24"/>
        </w:rPr>
        <w:t>ральным законом от 22.07.2008 №</w:t>
      </w:r>
      <w:r w:rsidRPr="00287219">
        <w:rPr>
          <w:rFonts w:ascii="Arial" w:hAnsi="Arial" w:cs="Arial"/>
          <w:color w:val="000000"/>
          <w:sz w:val="24"/>
          <w:szCs w:val="24"/>
        </w:rPr>
        <w:t>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</w:t>
      </w:r>
      <w:r w:rsidR="00224D23">
        <w:rPr>
          <w:rFonts w:ascii="Arial" w:hAnsi="Arial" w:cs="Arial"/>
          <w:color w:val="000000"/>
          <w:sz w:val="24"/>
          <w:szCs w:val="24"/>
        </w:rPr>
        <w:t>6.07.2006 №</w:t>
      </w:r>
      <w:r w:rsidRPr="00287219">
        <w:rPr>
          <w:rFonts w:ascii="Arial" w:hAnsi="Arial" w:cs="Arial"/>
          <w:color w:val="000000"/>
          <w:sz w:val="24"/>
          <w:szCs w:val="24"/>
        </w:rPr>
        <w:t>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E00593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 w:rsidRPr="00E00593">
        <w:rPr>
          <w:rFonts w:ascii="Arial" w:hAnsi="Arial" w:cs="Arial"/>
          <w:color w:val="000000"/>
          <w:sz w:val="24"/>
          <w:szCs w:val="24"/>
        </w:rPr>
        <w:t>Думы</w:t>
      </w:r>
      <w:r w:rsidRPr="00E00593">
        <w:rPr>
          <w:rFonts w:ascii="Arial" w:hAnsi="Arial" w:cs="Arial"/>
          <w:color w:val="000000"/>
          <w:sz w:val="24"/>
          <w:szCs w:val="24"/>
        </w:rPr>
        <w:t xml:space="preserve"> </w:t>
      </w:r>
      <w:r w:rsidR="00224D23" w:rsidRPr="00E0059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E0059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E0059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</w:t>
      </w:r>
      <w:r w:rsidR="008447B8" w:rsidRPr="00E00593">
        <w:rPr>
          <w:rFonts w:ascii="Arial" w:hAnsi="Arial" w:cs="Arial"/>
          <w:color w:val="000000"/>
          <w:sz w:val="24"/>
          <w:szCs w:val="24"/>
        </w:rPr>
        <w:t>4</w:t>
      </w:r>
      <w:r w:rsidRPr="00E00593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</w:t>
      </w:r>
      <w:r w:rsidR="008447B8" w:rsidRPr="00E00593">
        <w:rPr>
          <w:rFonts w:ascii="Arial" w:hAnsi="Arial" w:cs="Arial"/>
          <w:color w:val="000000"/>
          <w:sz w:val="24"/>
          <w:szCs w:val="24"/>
        </w:rPr>
        <w:t>4</w:t>
      </w:r>
      <w:r w:rsidRPr="00E00593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</w:t>
      </w:r>
      <w:r w:rsidR="008447B8" w:rsidRPr="00E00593">
        <w:rPr>
          <w:rFonts w:ascii="Arial" w:hAnsi="Arial" w:cs="Arial"/>
          <w:color w:val="000000"/>
          <w:sz w:val="24"/>
          <w:szCs w:val="24"/>
        </w:rPr>
        <w:t>4</w:t>
      </w:r>
      <w:r w:rsidRPr="00E00593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E00593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</w:t>
      </w:r>
      <w:r w:rsidR="008447B8" w:rsidRPr="00E00593">
        <w:rPr>
          <w:rFonts w:ascii="Arial" w:hAnsi="Arial" w:cs="Arial"/>
          <w:color w:val="000000"/>
          <w:sz w:val="24"/>
          <w:szCs w:val="24"/>
        </w:rPr>
        <w:t>4</w:t>
      </w:r>
      <w:r w:rsidRPr="00E00593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 w:rsidRPr="00E005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0593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93">
        <w:rPr>
          <w:rFonts w:ascii="Arial" w:hAnsi="Arial" w:cs="Arial"/>
          <w:color w:val="000000"/>
          <w:sz w:val="24"/>
          <w:szCs w:val="24"/>
        </w:rPr>
        <w:t>3.</w:t>
      </w:r>
      <w:r w:rsidR="008447B8" w:rsidRPr="00E00593">
        <w:rPr>
          <w:rFonts w:ascii="Arial" w:hAnsi="Arial" w:cs="Arial"/>
          <w:color w:val="000000"/>
          <w:sz w:val="24"/>
          <w:szCs w:val="24"/>
        </w:rPr>
        <w:t>4</w:t>
      </w:r>
      <w:r w:rsidRPr="00E00593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</w:t>
      </w:r>
      <w:r w:rsidR="00224D23">
        <w:rPr>
          <w:rFonts w:ascii="Arial" w:hAnsi="Arial" w:cs="Arial"/>
          <w:color w:val="000000"/>
          <w:sz w:val="24"/>
          <w:szCs w:val="24"/>
        </w:rPr>
        <w:t>ральным законом от 21.12.2001 №</w:t>
      </w:r>
      <w:r w:rsidRPr="00287219">
        <w:rPr>
          <w:rFonts w:ascii="Arial" w:hAnsi="Arial" w:cs="Arial"/>
          <w:color w:val="000000"/>
          <w:sz w:val="24"/>
          <w:szCs w:val="24"/>
        </w:rPr>
        <w:t>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224D23">
        <w:rPr>
          <w:rFonts w:ascii="Arial" w:hAnsi="Arial" w:cs="Arial"/>
          <w:sz w:val="24"/>
          <w:szCs w:val="24"/>
        </w:rPr>
        <w:t>Худоеланского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224D23">
        <w:rPr>
          <w:rFonts w:ascii="Arial" w:hAnsi="Arial" w:cs="Arial"/>
          <w:sz w:val="24"/>
          <w:szCs w:val="24"/>
        </w:rPr>
        <w:t>Худоеланского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</w:t>
      </w:r>
      <w:r w:rsidR="00224D23">
        <w:rPr>
          <w:rFonts w:ascii="Arial" w:hAnsi="Arial" w:cs="Arial"/>
          <w:sz w:val="24"/>
          <w:szCs w:val="24"/>
        </w:rPr>
        <w:t>ральным законом от 26.07.2006 №</w:t>
      </w:r>
      <w:r w:rsidRPr="00E84883">
        <w:rPr>
          <w:rFonts w:ascii="Arial" w:hAnsi="Arial" w:cs="Arial"/>
          <w:sz w:val="24"/>
          <w:szCs w:val="24"/>
        </w:rPr>
        <w:t>135-ФЗ «О защите конкуренции».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224D23">
        <w:rPr>
          <w:rFonts w:ascii="Arial" w:hAnsi="Arial" w:cs="Arial"/>
          <w:sz w:val="24"/>
          <w:szCs w:val="24"/>
        </w:rPr>
        <w:t>Худоеланского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005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lastRenderedPageBreak/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E0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84883" w:rsidRDefault="00E84883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E00593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2550A" w:rsidRPr="00287219">
        <w:rPr>
          <w:rFonts w:ascii="Courier New" w:hAnsi="Courier New" w:cs="Courier New"/>
          <w:sz w:val="22"/>
          <w:szCs w:val="22"/>
        </w:rPr>
        <w:t>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24D23">
        <w:rPr>
          <w:rFonts w:ascii="Courier New" w:hAnsi="Courier New" w:cs="Courier New"/>
          <w:color w:val="000000"/>
          <w:sz w:val="22"/>
          <w:szCs w:val="22"/>
        </w:rPr>
        <w:t>Худоеланского</w:t>
      </w:r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63EB">
        <w:rPr>
          <w:rFonts w:ascii="Courier New" w:hAnsi="Courier New" w:cs="Courier New"/>
          <w:sz w:val="22"/>
          <w:szCs w:val="22"/>
        </w:rPr>
        <w:t>10.04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FA63EB">
        <w:rPr>
          <w:rFonts w:ascii="Courier New" w:hAnsi="Courier New" w:cs="Courier New"/>
          <w:sz w:val="22"/>
          <w:szCs w:val="22"/>
        </w:rPr>
        <w:t>9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E005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D2550A" w:rsidRPr="00287219" w:rsidRDefault="00D2550A" w:rsidP="00E005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E005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Pr="00287219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224D23">
        <w:rPr>
          <w:rFonts w:ascii="Courier New" w:hAnsi="Courier New" w:cs="Courier New"/>
          <w:color w:val="000000"/>
          <w:sz w:val="22"/>
          <w:szCs w:val="22"/>
        </w:rPr>
        <w:t>Худоеланского</w:t>
      </w:r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834942" w:rsidRDefault="00FA63EB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</w:t>
      </w:r>
      <w:r w:rsidR="00D2550A" w:rsidRP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04 2020 №9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bookmarkStart w:id="1" w:name="_GoBack"/>
    </w:p>
    <w:bookmarkEnd w:id="1"/>
    <w:p w:rsidR="00D2550A" w:rsidRPr="00287219" w:rsidRDefault="00D2550A" w:rsidP="00E005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</w:t>
      </w:r>
      <w:r w:rsidR="00224D23">
        <w:rPr>
          <w:rFonts w:ascii="Arial" w:hAnsi="Arial" w:cs="Arial"/>
          <w:sz w:val="24"/>
          <w:szCs w:val="24"/>
        </w:rPr>
        <w:t>рального закона от 26.07.2006 N</w:t>
      </w:r>
      <w:r w:rsidRPr="00287219">
        <w:rPr>
          <w:rFonts w:ascii="Arial" w:hAnsi="Arial" w:cs="Arial"/>
          <w:sz w:val="24"/>
          <w:szCs w:val="24"/>
        </w:rPr>
        <w:t>135-ФЗ "О защите конкуренции".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224D23">
        <w:rPr>
          <w:rFonts w:ascii="Arial" w:hAnsi="Arial" w:cs="Arial"/>
          <w:color w:val="000000"/>
          <w:sz w:val="24"/>
          <w:szCs w:val="24"/>
        </w:rPr>
        <w:t>Худоеланского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</w:t>
      </w:r>
      <w:r w:rsidR="00224D23">
        <w:rPr>
          <w:rFonts w:ascii="Arial" w:hAnsi="Arial" w:cs="Arial"/>
          <w:sz w:val="24"/>
          <w:szCs w:val="24"/>
        </w:rPr>
        <w:t>рального закона от 24.07.2007 N</w:t>
      </w:r>
      <w:r w:rsidRPr="00287219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</w:t>
      </w:r>
      <w:r w:rsidR="00224D23">
        <w:rPr>
          <w:rFonts w:ascii="Arial" w:hAnsi="Arial" w:cs="Arial"/>
          <w:sz w:val="24"/>
          <w:szCs w:val="24"/>
        </w:rPr>
        <w:t>рального закона от 24.07.2007 N</w:t>
      </w:r>
      <w:r w:rsidRPr="00287219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="00224D23">
        <w:rPr>
          <w:rFonts w:ascii="Arial" w:hAnsi="Arial" w:cs="Arial"/>
          <w:sz w:val="24"/>
          <w:szCs w:val="24"/>
        </w:rPr>
        <w:t xml:space="preserve"> Закона N</w:t>
      </w:r>
      <w:r w:rsidRPr="00287219">
        <w:rPr>
          <w:rFonts w:ascii="Arial" w:hAnsi="Arial" w:cs="Arial"/>
          <w:sz w:val="24"/>
          <w:szCs w:val="24"/>
        </w:rPr>
        <w:t xml:space="preserve">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="00224D23">
        <w:rPr>
          <w:rFonts w:ascii="Arial" w:hAnsi="Arial" w:cs="Arial"/>
          <w:sz w:val="24"/>
          <w:szCs w:val="24"/>
        </w:rPr>
        <w:t xml:space="preserve"> Закона </w:t>
      </w:r>
      <w:r w:rsidRPr="00287219">
        <w:rPr>
          <w:rFonts w:ascii="Arial" w:hAnsi="Arial" w:cs="Arial"/>
          <w:sz w:val="24"/>
          <w:szCs w:val="24"/>
        </w:rPr>
        <w:t xml:space="preserve"> 209-ФЗ государственным фондам поддержки научной, научно-технической, инновационной деятельности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</w:t>
      </w:r>
      <w:r w:rsidR="00224D23">
        <w:rPr>
          <w:rFonts w:ascii="Arial" w:hAnsi="Arial" w:cs="Arial"/>
          <w:sz w:val="24"/>
          <w:szCs w:val="24"/>
        </w:rPr>
        <w:t>йской Федерации от 10.02.2010 N</w:t>
      </w:r>
      <w:r w:rsidRPr="00287219">
        <w:rPr>
          <w:rFonts w:ascii="Arial" w:hAnsi="Arial" w:cs="Arial"/>
          <w:sz w:val="24"/>
          <w:szCs w:val="24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может осуществляться путем проведения торгов в форме конкурса".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E00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</w:t>
      </w:r>
      <w:r w:rsidR="00224D23">
        <w:rPr>
          <w:rFonts w:ascii="Arial" w:hAnsi="Arial" w:cs="Arial"/>
          <w:sz w:val="24"/>
          <w:szCs w:val="24"/>
        </w:rPr>
        <w:t>рального закона от 24.07.2007 N</w:t>
      </w:r>
      <w:r w:rsidRPr="00287219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="00224D23">
        <w:rPr>
          <w:rFonts w:ascii="Arial" w:hAnsi="Arial" w:cs="Arial"/>
          <w:sz w:val="24"/>
          <w:szCs w:val="24"/>
        </w:rPr>
        <w:t xml:space="preserve"> Закона N</w:t>
      </w:r>
      <w:r w:rsidRPr="00287219">
        <w:rPr>
          <w:rFonts w:ascii="Arial" w:hAnsi="Arial" w:cs="Arial"/>
          <w:sz w:val="24"/>
          <w:szCs w:val="24"/>
        </w:rPr>
        <w:t xml:space="preserve">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45005"/>
    <w:rsid w:val="001F34FC"/>
    <w:rsid w:val="002118E9"/>
    <w:rsid w:val="00224D23"/>
    <w:rsid w:val="00287219"/>
    <w:rsid w:val="00410FFA"/>
    <w:rsid w:val="004349FC"/>
    <w:rsid w:val="00436926"/>
    <w:rsid w:val="00592988"/>
    <w:rsid w:val="006720DB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550A"/>
    <w:rsid w:val="00D8485E"/>
    <w:rsid w:val="00E00593"/>
    <w:rsid w:val="00E101FC"/>
    <w:rsid w:val="00E84883"/>
    <w:rsid w:val="00FA63EB"/>
    <w:rsid w:val="00FB0A81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</cp:revision>
  <cp:lastPrinted>2019-07-10T02:06:00Z</cp:lastPrinted>
  <dcterms:created xsi:type="dcterms:W3CDTF">2020-03-19T03:40:00Z</dcterms:created>
  <dcterms:modified xsi:type="dcterms:W3CDTF">2020-04-23T06:03:00Z</dcterms:modified>
</cp:coreProperties>
</file>